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Имитационное моделирование</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«Имитационное моделирование»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«Имитационное моделирование».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«Имитационное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Способность моделировать прикладные (бизнес) процессы и предметную область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основы управления организационными изменениями; архитектуру, устройство и функционирование вычислительных систем, коммуникационное оборудование, сетевые протоколы</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знать основы современных операционных систем, основы теории систем и системного анализа, формирование и механизмы рыночных процессов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знать основы менеджмента, в том числе менеджмента качества основы бухгалтерского учета и отчетности организаций, основы теории управления, основы международных стандартов финансовой отчетности (МСФО)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ИПК-5.4 уметь применять инструменты и методы моделирования бизнес-процессов, применять основы современных систем управления базами данных, проектировать устройство и функционирование современных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ИПК-5.5 уметь описывать программные средства и платформы инфраструктуры информационных технологий организаций, применять методики описания и моделирования бизнес-процессов, средства моделирования бизнес-процессов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ИПК-5.6 уметь применять основы управленческого учета, применять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ИПК-5.7 владеть навыками работы с современными стандартами  информационного взаимодействия систем, методами анализа современных подходов и стандартов автоматизации организации (например, CRM, MRP, ERP…, ITIL, ITSM)</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ИПК-5.8 владеть навыками работы с источниками информации, необходимой для профессиональной деятельности, навыками работы с отраслевой нормативно - технической документацией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ИПК-5.9 владеть навыками работы с системами классификации и кодирования информации, в том числе присвоение кодов документам и элементам справочников, методами управления торговлей, поставками и запасами, персоналом, включая вопросы оплаты труда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ИПК-5.10 владеть методами управления взаимоотношениями с клиентами и заказ-чиками (CRM), современными инструментами и методами определения финансовых и производственных показателей деятельности организаций, методами ведения документооборота в организациях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«Имитационное моделирование»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p>
            <w:pPr>
              <w:jc w:val="center"/>
              <w:spacing w:after="0" w:line="240" w:lineRule="auto"/>
              <w:rPr>
                <w:sz w:val="22"/>
                <w:szCs w:val="22"/>
              </w:rPr>
            </w:pPr>
            <w:r>
              <w:rPr>
                <w:rFonts w:ascii="Times New Roman" w:hAnsi="Times New Roman" w:cs="Times New Roman"/>
                <w:color w:val="#000000"/>
                <w:sz w:val="22"/>
                <w:szCs w:val="22"/>
              </w:rPr>
              <w:t>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Системная архитектура</w:t>
            </w:r>
          </w:p>
          <w:p>
            <w:pPr>
              <w:jc w:val="center"/>
              <w:spacing w:after="0" w:line="240" w:lineRule="auto"/>
              <w:rPr>
                <w:sz w:val="22"/>
                <w:szCs w:val="22"/>
              </w:rPr>
            </w:pPr>
            <w:r>
              <w:rPr>
                <w:rFonts w:ascii="Times New Roman" w:hAnsi="Times New Roman" w:cs="Times New Roman"/>
                <w:color w:val="#000000"/>
                <w:sz w:val="22"/>
                <w:szCs w:val="22"/>
              </w:rPr>
              <w:t> Системы классификации и кодирования информации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Имитационное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модели и моделированияю. Концепция дискретных систем для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случайных величин и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модели и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дискретных систем для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случайных величин и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случайных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моделирование статистических зависимостей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обработка результатов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теории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теории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95.6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модели и моделированияю. Концепция дискретных систем для имитационного моделирования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как объект моделирования. Общее определение модели. Классификация моделей и моделирования. Этапы моделирования. Адекватность модели. Требования, предъявляемые к моделям. Компьютерное моделирование.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экспериментов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цели планирования эксперимента.  Элементы стратегического планирования экспериментов. Стандартные планы. Формальный подход к сокращению общего числа прогонов. Элементы тактического планирования. Точность и количество реализаций модели при определении средних значений параметров. Точность и количество реализаций модели при определении вероятностей исходов. Точность и количество реализаций модели при зависимом ряде данных. Проблема начальных условий.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результатов имитационного эксперимента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случайных величин и процессов. Требования к оценкам характеристик. Оценка характеристик случайных величин и процессов. Гистограмма.  Элементы дисперсионного анализа. Критерий Фишера. Критерий Вилкоксона.  Однофакторный дисперсионный анализ.  Выявление несущественных факторов.  Сущность корреляционного анализа. 5.10. Обработка результатов эксперимента на основе регрессии.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случайных величин и событий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Генераторы случайных чисел. Псевдослучайные величины.</w:t>
            </w:r>
          </w:p>
          <w:p>
            <w:pPr>
              <w:jc w:val="both"/>
              <w:spacing w:after="0" w:line="240" w:lineRule="auto"/>
              <w:rPr>
                <w:sz w:val="24"/>
                <w:szCs w:val="24"/>
              </w:rPr>
            </w:pPr>
            <w:r>
              <w:rPr>
                <w:rFonts w:ascii="Times New Roman" w:hAnsi="Times New Roman" w:cs="Times New Roman"/>
                <w:color w:val="#000000"/>
                <w:sz w:val="24"/>
                <w:szCs w:val="24"/>
              </w:rPr>
              <w:t> 2.	Равномерное распределение</w:t>
            </w:r>
          </w:p>
          <w:p>
            <w:pPr>
              <w:jc w:val="both"/>
              <w:spacing w:after="0" w:line="240" w:lineRule="auto"/>
              <w:rPr>
                <w:sz w:val="24"/>
                <w:szCs w:val="24"/>
              </w:rPr>
            </w:pPr>
            <w:r>
              <w:rPr>
                <w:rFonts w:ascii="Times New Roman" w:hAnsi="Times New Roman" w:cs="Times New Roman"/>
                <w:color w:val="#000000"/>
                <w:sz w:val="24"/>
                <w:szCs w:val="24"/>
              </w:rPr>
              <w:t> 3.	Моделирование нормального распределения с помощью генератора случайных чисел</w:t>
            </w:r>
          </w:p>
          <w:p>
            <w:pPr>
              <w:jc w:val="both"/>
              <w:spacing w:after="0" w:line="240" w:lineRule="auto"/>
              <w:rPr>
                <w:sz w:val="24"/>
                <w:szCs w:val="24"/>
              </w:rPr>
            </w:pPr>
            <w:r>
              <w:rPr>
                <w:rFonts w:ascii="Times New Roman" w:hAnsi="Times New Roman" w:cs="Times New Roman"/>
                <w:color w:val="#000000"/>
                <w:sz w:val="24"/>
                <w:szCs w:val="24"/>
              </w:rPr>
              <w:t> 4.	Моделирование различных распределений с помощью генератора случайных чисел</w:t>
            </w:r>
          </w:p>
          <w:p>
            <w:pPr>
              <w:jc w:val="both"/>
              <w:spacing w:after="0" w:line="240" w:lineRule="auto"/>
              <w:rPr>
                <w:sz w:val="24"/>
                <w:szCs w:val="24"/>
              </w:rPr>
            </w:pPr>
            <w:r>
              <w:rPr>
                <w:rFonts w:ascii="Times New Roman" w:hAnsi="Times New Roman" w:cs="Times New Roman"/>
                <w:color w:val="#000000"/>
                <w:sz w:val="24"/>
                <w:szCs w:val="24"/>
              </w:rPr>
              <w:t> 5.	Случайные события. Полная группа событий</w:t>
            </w:r>
          </w:p>
          <w:p>
            <w:pPr>
              <w:jc w:val="both"/>
              <w:spacing w:after="0" w:line="240" w:lineRule="auto"/>
              <w:rPr>
                <w:sz w:val="24"/>
                <w:szCs w:val="24"/>
              </w:rPr>
            </w:pPr>
            <w:r>
              <w:rPr>
                <w:rFonts w:ascii="Times New Roman" w:hAnsi="Times New Roman" w:cs="Times New Roman"/>
                <w:color w:val="#000000"/>
                <w:sz w:val="24"/>
                <w:szCs w:val="24"/>
              </w:rPr>
              <w:t> 6.	Моделирование единичного события.</w:t>
            </w:r>
          </w:p>
          <w:p>
            <w:pPr>
              <w:jc w:val="both"/>
              <w:spacing w:after="0" w:line="240" w:lineRule="auto"/>
              <w:rPr>
                <w:sz w:val="24"/>
                <w:szCs w:val="24"/>
              </w:rPr>
            </w:pPr>
            <w:r>
              <w:rPr>
                <w:rFonts w:ascii="Times New Roman" w:hAnsi="Times New Roman" w:cs="Times New Roman"/>
                <w:color w:val="#000000"/>
                <w:sz w:val="24"/>
                <w:szCs w:val="24"/>
              </w:rPr>
              <w:t> 7.	Моделирование полной группы несовместных событий.</w:t>
            </w:r>
          </w:p>
          <w:p>
            <w:pPr>
              <w:jc w:val="both"/>
              <w:spacing w:after="0" w:line="240" w:lineRule="auto"/>
              <w:rPr>
                <w:sz w:val="24"/>
                <w:szCs w:val="24"/>
              </w:rPr>
            </w:pPr>
            <w:r>
              <w:rPr>
                <w:rFonts w:ascii="Times New Roman" w:hAnsi="Times New Roman" w:cs="Times New Roman"/>
                <w:color w:val="#000000"/>
                <w:sz w:val="24"/>
                <w:szCs w:val="24"/>
              </w:rPr>
              <w:t> 8.	Моделирование совместных независимых событий. Моделирование совместных зависимых событий.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экспериментов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цели планирования эксперимента.</w:t>
            </w:r>
          </w:p>
          <w:p>
            <w:pPr>
              <w:jc w:val="both"/>
              <w:spacing w:after="0" w:line="240" w:lineRule="auto"/>
              <w:rPr>
                <w:sz w:val="24"/>
                <w:szCs w:val="24"/>
              </w:rPr>
            </w:pPr>
            <w:r>
              <w:rPr>
                <w:rFonts w:ascii="Times New Roman" w:hAnsi="Times New Roman" w:cs="Times New Roman"/>
                <w:color w:val="#000000"/>
                <w:sz w:val="24"/>
                <w:szCs w:val="24"/>
              </w:rPr>
              <w:t> 2.	Элементы стратегического планирования экспериментов.</w:t>
            </w:r>
          </w:p>
          <w:p>
            <w:pPr>
              <w:jc w:val="both"/>
              <w:spacing w:after="0" w:line="240" w:lineRule="auto"/>
              <w:rPr>
                <w:sz w:val="24"/>
                <w:szCs w:val="24"/>
              </w:rPr>
            </w:pPr>
            <w:r>
              <w:rPr>
                <w:rFonts w:ascii="Times New Roman" w:hAnsi="Times New Roman" w:cs="Times New Roman"/>
                <w:color w:val="#000000"/>
                <w:sz w:val="24"/>
                <w:szCs w:val="24"/>
              </w:rPr>
              <w:t> 3.	Стандартные планы.</w:t>
            </w:r>
          </w:p>
          <w:p>
            <w:pPr>
              <w:jc w:val="both"/>
              <w:spacing w:after="0" w:line="240" w:lineRule="auto"/>
              <w:rPr>
                <w:sz w:val="24"/>
                <w:szCs w:val="24"/>
              </w:rPr>
            </w:pPr>
            <w:r>
              <w:rPr>
                <w:rFonts w:ascii="Times New Roman" w:hAnsi="Times New Roman" w:cs="Times New Roman"/>
                <w:color w:val="#000000"/>
                <w:sz w:val="24"/>
                <w:szCs w:val="24"/>
              </w:rPr>
              <w:t> 4.	Формальный подход к сокращению общего числа прогонов.</w:t>
            </w:r>
          </w:p>
          <w:p>
            <w:pPr>
              <w:jc w:val="both"/>
              <w:spacing w:after="0" w:line="240" w:lineRule="auto"/>
              <w:rPr>
                <w:sz w:val="24"/>
                <w:szCs w:val="24"/>
              </w:rPr>
            </w:pPr>
            <w:r>
              <w:rPr>
                <w:rFonts w:ascii="Times New Roman" w:hAnsi="Times New Roman" w:cs="Times New Roman"/>
                <w:color w:val="#000000"/>
                <w:sz w:val="24"/>
                <w:szCs w:val="24"/>
              </w:rPr>
              <w:t> 5.	Элементы тактического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результатов имитационного эксперимента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Характеристики случайных величин и процессов.</w:t>
            </w:r>
          </w:p>
          <w:p>
            <w:pPr>
              <w:jc w:val="both"/>
              <w:spacing w:after="0" w:line="240" w:lineRule="auto"/>
              <w:rPr>
                <w:sz w:val="24"/>
                <w:szCs w:val="24"/>
              </w:rPr>
            </w:pPr>
            <w:r>
              <w:rPr>
                <w:rFonts w:ascii="Times New Roman" w:hAnsi="Times New Roman" w:cs="Times New Roman"/>
                <w:color w:val="#000000"/>
                <w:sz w:val="24"/>
                <w:szCs w:val="24"/>
              </w:rPr>
              <w:t> 2.	Требования к оценкам характеристик.</w:t>
            </w:r>
          </w:p>
          <w:p>
            <w:pPr>
              <w:jc w:val="both"/>
              <w:spacing w:after="0" w:line="240" w:lineRule="auto"/>
              <w:rPr>
                <w:sz w:val="24"/>
                <w:szCs w:val="24"/>
              </w:rPr>
            </w:pPr>
            <w:r>
              <w:rPr>
                <w:rFonts w:ascii="Times New Roman" w:hAnsi="Times New Roman" w:cs="Times New Roman"/>
                <w:color w:val="#000000"/>
                <w:sz w:val="24"/>
                <w:szCs w:val="24"/>
              </w:rPr>
              <w:t> 3.	Оценка характеристик случайных величин и процессов.</w:t>
            </w:r>
          </w:p>
          <w:p>
            <w:pPr>
              <w:jc w:val="both"/>
              <w:spacing w:after="0" w:line="240" w:lineRule="auto"/>
              <w:rPr>
                <w:sz w:val="24"/>
                <w:szCs w:val="24"/>
              </w:rPr>
            </w:pPr>
            <w:r>
              <w:rPr>
                <w:rFonts w:ascii="Times New Roman" w:hAnsi="Times New Roman" w:cs="Times New Roman"/>
                <w:color w:val="#000000"/>
                <w:sz w:val="24"/>
                <w:szCs w:val="24"/>
              </w:rPr>
              <w:t> 4.	Гистограмма.</w:t>
            </w:r>
          </w:p>
          <w:p>
            <w:pPr>
              <w:jc w:val="both"/>
              <w:spacing w:after="0" w:line="240" w:lineRule="auto"/>
              <w:rPr>
                <w:sz w:val="24"/>
                <w:szCs w:val="24"/>
              </w:rPr>
            </w:pPr>
            <w:r>
              <w:rPr>
                <w:rFonts w:ascii="Times New Roman" w:hAnsi="Times New Roman" w:cs="Times New Roman"/>
                <w:color w:val="#000000"/>
                <w:sz w:val="24"/>
                <w:szCs w:val="24"/>
              </w:rPr>
              <w:t> 5.	Критерий Фишера. Критерий Вилкоксона.</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«Имитационное моделирование»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https://urait.ru/bcode/438785</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Древс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Золотарёв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978-5-534-11385-3.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https://urait.ru/bcode/445193</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Яковлев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https://urait.ru/bcode/425228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Эльберг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978-5-7638-3648-6.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http://www.iprbookshop.ru/84350.html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978-5-9275-2426-6.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http://www.iprbookshop.ru/87410.html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34.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2024-2025_ФГОС3++2024_Бак-ЗФО-ПИ(24)_plx_Имитационное моделирование_11111111</dc:title>
  <dc:creator>FastReport.NET</dc:creator>
</cp:coreProperties>
</file>